
<file path=[Content_Types].xml><?xml version="1.0" encoding="utf-8"?>
<Types xmlns="http://schemas.openxmlformats.org/package/2006/content-types">
  <Default Extension="xml" ContentType="application/xml"/>
  <Default Extension="xlsx" ContentType="application/vnd.openxmlformats-officedocument.spreadsheetml.sheet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colors5.xml" ContentType="application/vnd.ms-office.chartcolorstyle+xml"/>
  <Override PartName="/word/charts/colors6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charts/style5.xml" ContentType="application/vnd.ms-office.chartstyle+xml"/>
  <Override PartName="/word/charts/style6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52"/>
          <w:szCs w:val="52"/>
        </w:rPr>
      </w:pPr>
    </w:p>
    <w:p>
      <w:pPr>
        <w:jc w:val="both"/>
        <w:rPr>
          <w:sz w:val="52"/>
          <w:szCs w:val="52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XX项目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安全生产责任险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事故预防技术服务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季度分析评估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eastAsia="zh-CN"/>
        </w:rPr>
        <w:t>报告</w:t>
      </w:r>
    </w:p>
    <w:p>
      <w:pPr>
        <w:pStyle w:val="3"/>
        <w:jc w:val="center"/>
        <w:rPr>
          <w:lang w:val="en-US"/>
        </w:rPr>
      </w:pPr>
      <w:r>
        <w:rPr>
          <w:rFonts w:hint="eastAsia" w:ascii="黑体" w:hAnsi="黑体" w:eastAsia="黑体" w:cs="黑体"/>
          <w:sz w:val="44"/>
          <w:szCs w:val="44"/>
          <w:lang w:val="en-US"/>
        </w:rPr>
        <w:t>（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___年___</w:t>
      </w:r>
      <w:r>
        <w:rPr>
          <w:rFonts w:hint="eastAsia" w:ascii="黑体" w:hAnsi="黑体" w:eastAsia="黑体" w:cs="黑体"/>
          <w:sz w:val="44"/>
          <w:szCs w:val="44"/>
          <w:lang w:val="en-US"/>
        </w:rPr>
        <w:t>季度）</w:t>
      </w:r>
    </w:p>
    <w:p>
      <w:pPr>
        <w:jc w:val="center"/>
        <w:rPr>
          <w:sz w:val="52"/>
          <w:szCs w:val="52"/>
        </w:rPr>
      </w:pPr>
    </w:p>
    <w:p>
      <w:pPr>
        <w:rPr>
          <w:sz w:val="52"/>
          <w:szCs w:val="52"/>
        </w:rPr>
      </w:pPr>
    </w:p>
    <w:p>
      <w:pPr>
        <w:ind w:firstLine="2880" w:firstLineChars="900"/>
        <w:rPr>
          <w:rFonts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>编 制 人：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</w:t>
      </w:r>
    </w:p>
    <w:p>
      <w:pPr>
        <w:ind w:firstLine="2880" w:firstLineChars="900"/>
        <w:rPr>
          <w:rFonts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>审 核 人：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</w:t>
      </w:r>
    </w:p>
    <w:p>
      <w:pPr>
        <w:adjustRightInd w:val="0"/>
        <w:spacing w:line="420" w:lineRule="atLeast"/>
        <w:jc w:val="left"/>
        <w:textAlignment w:val="baseline"/>
        <w:rPr>
          <w:rFonts w:ascii="黑体" w:hAnsi="黑体" w:eastAsia="黑体" w:cs="黑体"/>
          <w:kern w:val="0"/>
          <w:sz w:val="52"/>
          <w:szCs w:val="52"/>
        </w:rPr>
      </w:pPr>
    </w:p>
    <w:p>
      <w:pPr>
        <w:pStyle w:val="3"/>
        <w:rPr>
          <w:rFonts w:ascii="黑体" w:hAnsi="黑体" w:eastAsia="黑体" w:cs="黑体"/>
          <w:sz w:val="52"/>
          <w:szCs w:val="52"/>
        </w:rPr>
      </w:pPr>
    </w:p>
    <w:p>
      <w:pPr>
        <w:ind w:firstLine="1080" w:firstLineChars="300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主承保险公司：XX有限公司</w:t>
      </w:r>
    </w:p>
    <w:p>
      <w:pPr>
        <w:ind w:firstLine="1080" w:firstLineChars="300"/>
        <w:rPr>
          <w:rFonts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36"/>
          <w:szCs w:val="36"/>
        </w:rPr>
        <w:t>服务机构名称：XX有限公司</w:t>
      </w:r>
    </w:p>
    <w:p>
      <w:pPr>
        <w:adjustRightInd w:val="0"/>
        <w:spacing w:line="420" w:lineRule="atLeast"/>
        <w:jc w:val="left"/>
        <w:textAlignment w:val="baseline"/>
        <w:rPr>
          <w:rFonts w:hint="eastAsia" w:ascii="黑体" w:hAnsi="黑体" w:eastAsia="黑体" w:cs="黑体"/>
          <w:kern w:val="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kern w:val="0"/>
          <w:sz w:val="36"/>
          <w:szCs w:val="36"/>
        </w:rPr>
        <w:t xml:space="preserve">      报告编制时间：XX年XX</w:t>
      </w:r>
      <w:r>
        <w:rPr>
          <w:rFonts w:hint="eastAsia" w:ascii="黑体" w:hAnsi="黑体" w:eastAsia="黑体" w:cs="黑体"/>
          <w:kern w:val="0"/>
          <w:sz w:val="36"/>
          <w:szCs w:val="36"/>
          <w:lang w:eastAsia="zh-CN"/>
        </w:rPr>
        <w:t>月</w:t>
      </w:r>
      <w:r>
        <w:rPr>
          <w:rFonts w:hint="eastAsia" w:ascii="黑体" w:hAnsi="黑体" w:eastAsia="黑体" w:cs="黑体"/>
          <w:kern w:val="0"/>
          <w:sz w:val="36"/>
          <w:szCs w:val="36"/>
        </w:rPr>
        <w:t>XX</w:t>
      </w:r>
      <w:r>
        <w:rPr>
          <w:rFonts w:hint="eastAsia" w:ascii="黑体" w:hAnsi="黑体" w:eastAsia="黑体" w:cs="黑体"/>
          <w:kern w:val="0"/>
          <w:sz w:val="36"/>
          <w:szCs w:val="36"/>
          <w:lang w:eastAsia="zh-CN"/>
        </w:rPr>
        <w:t>日</w:t>
      </w:r>
    </w:p>
    <w:p>
      <w:pPr>
        <w:pStyle w:val="3"/>
        <w:rPr>
          <w:sz w:val="36"/>
          <w:szCs w:val="36"/>
        </w:rPr>
      </w:pPr>
      <w:r>
        <w:rPr>
          <w:sz w:val="36"/>
          <w:szCs w:val="36"/>
        </w:rPr>
        <w:br w:type="page"/>
      </w:r>
    </w:p>
    <w:tbl>
      <w:tblPr>
        <w:tblStyle w:val="11"/>
        <w:tblW w:w="9267" w:type="dxa"/>
        <w:tblInd w:w="-4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5"/>
        <w:gridCol w:w="1443"/>
        <w:gridCol w:w="69"/>
        <w:gridCol w:w="1873"/>
        <w:gridCol w:w="36"/>
        <w:gridCol w:w="1615"/>
        <w:gridCol w:w="289"/>
        <w:gridCol w:w="21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755" w:type="dxa"/>
            <w:shd w:val="clear" w:color="auto" w:fill="DAE3F3" w:themeFill="accent5" w:themeFillTint="3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</w:rPr>
              <w:t>项目</w:t>
            </w:r>
          </w:p>
        </w:tc>
        <w:tc>
          <w:tcPr>
            <w:tcW w:w="7512" w:type="dxa"/>
            <w:gridSpan w:val="7"/>
            <w:shd w:val="clear" w:color="auto" w:fill="DAE3F3" w:themeFill="accent5" w:themeFillTint="3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</w:rPr>
              <w:t>内容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75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</w:rPr>
              <w:t>名称</w:t>
            </w:r>
            <w:r>
              <w:rPr>
                <w:rFonts w:hint="eastAsia" w:ascii="黑体" w:hAnsi="黑体" w:eastAsia="黑体" w:cs="黑体"/>
                <w:b/>
                <w:color w:val="FF0000"/>
              </w:rPr>
              <w:t>*</w:t>
            </w:r>
          </w:p>
        </w:tc>
        <w:tc>
          <w:tcPr>
            <w:tcW w:w="7512" w:type="dxa"/>
            <w:gridSpan w:val="7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75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</w:rPr>
              <w:t>地址</w:t>
            </w:r>
          </w:p>
        </w:tc>
        <w:tc>
          <w:tcPr>
            <w:tcW w:w="7512" w:type="dxa"/>
            <w:gridSpan w:val="7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75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/>
              </w:rPr>
            </w:pPr>
            <w:r>
              <w:rPr>
                <w:rFonts w:hint="eastAsia" w:ascii="黑体" w:hAnsi="黑体" w:eastAsia="黑体" w:cs="黑体"/>
                <w:b/>
              </w:rPr>
              <w:t>规模</w:t>
            </w:r>
          </w:p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lang w:val="zh-TW"/>
              </w:rPr>
              <w:t>类型</w:t>
            </w:r>
            <w:r>
              <w:rPr>
                <w:rFonts w:hint="eastAsia" w:ascii="黑体" w:hAnsi="黑体" w:eastAsia="黑体" w:cs="黑体"/>
                <w:b/>
                <w:color w:val="FF0000"/>
              </w:rPr>
              <w:t>*</w:t>
            </w:r>
          </w:p>
        </w:tc>
        <w:tc>
          <w:tcPr>
            <w:tcW w:w="7512" w:type="dxa"/>
            <w:gridSpan w:val="7"/>
            <w:shd w:val="clear" w:color="auto" w:fill="DAE3F3" w:themeFill="accent5" w:themeFillTint="3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kern w:val="0"/>
              </w:rPr>
              <w:t>房建工程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75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44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</w:rPr>
              <w:t>建筑总面积</w:t>
            </w:r>
          </w:p>
        </w:tc>
        <w:tc>
          <w:tcPr>
            <w:tcW w:w="6069" w:type="dxa"/>
            <w:gridSpan w:val="6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75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44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</w:rPr>
              <w:t>地上建筑面积</w:t>
            </w:r>
          </w:p>
        </w:tc>
        <w:tc>
          <w:tcPr>
            <w:tcW w:w="1942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40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黑体" w:hAnsi="黑体" w:eastAsia="黑体" w:cs="黑体"/>
                <w:b/>
                <w:color w:val="000000"/>
              </w:rPr>
              <w:t>地下建筑面积</w:t>
            </w:r>
          </w:p>
        </w:tc>
        <w:tc>
          <w:tcPr>
            <w:tcW w:w="2187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黑体" w:hAnsi="黑体" w:eastAsia="黑体" w:cs="黑体"/>
                <w:color w:val="000000"/>
              </w:rPr>
              <w:t xml:space="preserve">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75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44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类型</w:t>
            </w:r>
          </w:p>
        </w:tc>
        <w:tc>
          <w:tcPr>
            <w:tcW w:w="6069" w:type="dxa"/>
            <w:gridSpan w:val="6"/>
            <w:vAlign w:val="center"/>
          </w:tcPr>
          <w:p>
            <w:pPr>
              <w:tabs>
                <w:tab w:val="left" w:pos="3445"/>
              </w:tabs>
              <w:spacing w:line="360" w:lineRule="auto"/>
              <w:jc w:val="left"/>
              <w:rPr>
                <w:rFonts w:hint="eastAsia" w:ascii="黑体" w:hAnsi="黑体" w:eastAsia="黑体" w:cs="黑体"/>
                <w:lang w:eastAsia="zh-CN"/>
              </w:rPr>
            </w:pPr>
            <w:r>
              <w:rPr>
                <w:rFonts w:hint="eastAsia" w:ascii="黑体" w:hAnsi="黑体" w:eastAsia="黑体" w:cs="黑体"/>
              </w:rPr>
              <w:t>□</w:t>
            </w:r>
            <w:r>
              <w:rPr>
                <w:rFonts w:hint="eastAsia" w:ascii="黑体" w:hAnsi="黑体" w:eastAsia="黑体" w:cs="黑体"/>
                <w:lang w:eastAsia="zh-CN"/>
              </w:rPr>
              <w:t>公共</w:t>
            </w:r>
            <w:r>
              <w:rPr>
                <w:rFonts w:hint="eastAsia" w:ascii="黑体" w:hAnsi="黑体" w:eastAsia="黑体" w:cs="黑体"/>
                <w:lang w:eastAsia="zh-TW"/>
              </w:rPr>
              <w:t xml:space="preserve">建筑  </w:t>
            </w:r>
            <w:r>
              <w:rPr>
                <w:rFonts w:hint="eastAsia" w:ascii="黑体" w:hAnsi="黑体" w:eastAsia="黑体" w:cs="黑体"/>
              </w:rPr>
              <w:t>□</w:t>
            </w:r>
            <w:r>
              <w:rPr>
                <w:rFonts w:hint="eastAsia" w:ascii="黑体" w:hAnsi="黑体" w:eastAsia="黑体" w:cs="黑体"/>
                <w:lang w:eastAsia="zh-TW"/>
              </w:rPr>
              <w:t>车间厂房</w:t>
            </w:r>
            <w:r>
              <w:rPr>
                <w:rFonts w:hint="eastAsia" w:ascii="黑体" w:hAnsi="黑体" w:eastAsia="黑体" w:cs="黑体"/>
              </w:rPr>
              <w:t xml:space="preserve">   □</w:t>
            </w:r>
            <w:r>
              <w:rPr>
                <w:rFonts w:hint="eastAsia" w:ascii="黑体" w:hAnsi="黑体" w:eastAsia="黑体" w:cs="黑体"/>
                <w:lang w:eastAsia="zh-CN"/>
              </w:rPr>
              <w:t>商品住宅</w:t>
            </w:r>
          </w:p>
          <w:p>
            <w:pPr>
              <w:spacing w:line="360" w:lineRule="auto"/>
              <w:jc w:val="left"/>
              <w:rPr>
                <w:rFonts w:ascii="宋体" w:hAnsi="宋体" w:eastAsia="PMingLiU" w:cs="Times New Roman"/>
              </w:rPr>
            </w:pPr>
            <w:r>
              <w:rPr>
                <w:rFonts w:hint="eastAsia" w:ascii="黑体" w:hAnsi="黑体" w:eastAsia="黑体" w:cs="黑体"/>
                <w:lang w:eastAsia="zh-TW"/>
              </w:rPr>
              <w:t>□</w:t>
            </w:r>
            <w:r>
              <w:rPr>
                <w:rFonts w:hint="eastAsia" w:ascii="黑体" w:hAnsi="黑体" w:eastAsia="黑体" w:cs="黑体"/>
                <w:lang w:eastAsia="zh-CN"/>
              </w:rPr>
              <w:t>保障房</w:t>
            </w:r>
            <w:r>
              <w:rPr>
                <w:rFonts w:hint="eastAsia" w:ascii="黑体" w:hAnsi="黑体" w:eastAsia="黑体" w:cs="黑体"/>
                <w:lang w:eastAsia="zh-TW"/>
              </w:rPr>
              <w:t xml:space="preserve">  </w:t>
            </w:r>
            <w:r>
              <w:rPr>
                <w:rFonts w:hint="eastAsia" w:ascii="黑体" w:hAnsi="黑体" w:eastAsia="黑体" w:cs="黑体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lang w:eastAsia="zh-TW"/>
              </w:rPr>
              <w:t>□</w:t>
            </w:r>
            <w:r>
              <w:rPr>
                <w:rFonts w:hint="eastAsia" w:ascii="黑体" w:hAnsi="黑体" w:eastAsia="黑体" w:cs="黑体"/>
                <w:lang w:eastAsia="zh-CN"/>
              </w:rPr>
              <w:t>学校</w:t>
            </w:r>
            <w:r>
              <w:rPr>
                <w:rFonts w:hint="eastAsia" w:ascii="黑体" w:hAnsi="黑体" w:eastAsia="黑体" w:cs="黑体"/>
                <w:lang w:val="en-US" w:eastAsia="zh-CN"/>
              </w:rPr>
              <w:t xml:space="preserve">       </w:t>
            </w:r>
            <w:r>
              <w:rPr>
                <w:rFonts w:hint="eastAsia" w:ascii="黑体" w:hAnsi="黑体" w:eastAsia="黑体" w:cs="黑体"/>
                <w:lang w:eastAsia="zh-TW"/>
              </w:rPr>
              <w:sym w:font="Wingdings 2" w:char="00A3"/>
            </w:r>
            <w:r>
              <w:rPr>
                <w:rFonts w:hint="eastAsia" w:ascii="黑体" w:hAnsi="黑体" w:eastAsia="黑体" w:cs="黑体"/>
                <w:lang w:eastAsia="zh-TW"/>
              </w:rPr>
              <w:t>其他</w:t>
            </w:r>
            <w:r>
              <w:rPr>
                <w:rFonts w:hint="eastAsia" w:ascii="黑体" w:hAnsi="黑体" w:eastAsia="黑体" w:cs="黑体"/>
                <w:lang w:val="en-US" w:eastAsia="zh-CN"/>
              </w:rPr>
              <w:t xml:space="preserve">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755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7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黑体" w:hAnsi="黑体" w:eastAsia="黑体" w:cs="黑体"/>
                <w:b/>
                <w:kern w:val="0"/>
              </w:rPr>
              <w:t>市政工程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755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DAE3F3" w:themeFill="accent5" w:themeFillTint="32"/>
            <w:vAlign w:val="top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类型</w:t>
            </w:r>
          </w:p>
        </w:tc>
        <w:tc>
          <w:tcPr>
            <w:tcW w:w="6069" w:type="dxa"/>
            <w:gridSpan w:val="6"/>
            <w:shd w:val="clear" w:color="auto" w:fill="DAE3F3" w:themeFill="accent5" w:themeFillTint="32"/>
            <w:vAlign w:val="center"/>
          </w:tcPr>
          <w:p>
            <w:pPr>
              <w:spacing w:line="360" w:lineRule="auto"/>
              <w:jc w:val="left"/>
              <w:rPr>
                <w:rFonts w:ascii="黑体" w:hAnsi="黑体" w:eastAsia="黑体" w:cs="黑体"/>
                <w:lang w:eastAsia="zh-TW"/>
              </w:rPr>
            </w:pPr>
            <w:r>
              <w:rPr>
                <w:rFonts w:hint="eastAsia" w:ascii="黑体" w:hAnsi="黑体" w:eastAsia="黑体" w:cs="黑体"/>
                <w:lang w:eastAsia="zh-TW"/>
              </w:rPr>
              <w:t>□道路工程   □</w:t>
            </w:r>
            <w:r>
              <w:rPr>
                <w:rFonts w:hint="eastAsia" w:ascii="黑体" w:hAnsi="黑体" w:eastAsia="黑体" w:cs="黑体"/>
                <w:lang w:val="en-US" w:eastAsia="zh-CN"/>
              </w:rPr>
              <w:t>地铁</w:t>
            </w:r>
            <w:r>
              <w:rPr>
                <w:rFonts w:hint="eastAsia" w:ascii="黑体" w:hAnsi="黑体" w:eastAsia="黑体" w:cs="黑体"/>
                <w:lang w:eastAsia="zh-TW"/>
              </w:rPr>
              <w:t>工程    □隧道工程</w:t>
            </w:r>
          </w:p>
          <w:p>
            <w:pPr>
              <w:spacing w:line="360" w:lineRule="auto"/>
              <w:jc w:val="left"/>
            </w:pPr>
            <w:r>
              <w:rPr>
                <w:rFonts w:hint="eastAsia" w:ascii="黑体" w:hAnsi="黑体" w:eastAsia="黑体" w:cs="黑体"/>
              </w:rPr>
              <w:t>□管道工程   □桥梁工程     □其他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755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</w:rPr>
              <w:t>工程造价</w:t>
            </w:r>
            <w:r>
              <w:rPr>
                <w:rFonts w:hint="eastAsia" w:ascii="黑体" w:hAnsi="黑体" w:eastAsia="黑体" w:cs="黑体"/>
                <w:b/>
                <w:color w:val="FF0000"/>
              </w:rPr>
              <w:t>*</w:t>
            </w:r>
          </w:p>
        </w:tc>
        <w:tc>
          <w:tcPr>
            <w:tcW w:w="7512" w:type="dxa"/>
            <w:gridSpan w:val="7"/>
            <w:vAlign w:val="center"/>
          </w:tcPr>
          <w:p>
            <w:pPr>
              <w:spacing w:line="360" w:lineRule="auto"/>
            </w:pPr>
            <w:r>
              <w:rPr>
                <w:rFonts w:hint="eastAsia" w:ascii="黑体" w:hAnsi="黑体" w:eastAsia="黑体" w:cs="黑体"/>
              </w:rPr>
              <w:t>□合同总造价：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75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</w:rPr>
              <w:t>工程阶段</w:t>
            </w:r>
            <w:r>
              <w:rPr>
                <w:rFonts w:hint="eastAsia" w:ascii="黑体" w:hAnsi="黑体" w:eastAsia="黑体" w:cs="黑体"/>
                <w:b/>
                <w:color w:val="FF0000"/>
              </w:rPr>
              <w:t>*</w:t>
            </w:r>
          </w:p>
        </w:tc>
        <w:tc>
          <w:tcPr>
            <w:tcW w:w="7512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</w:rPr>
              <w:t xml:space="preserve">□准备阶段  □地基与基础  □主体  </w:t>
            </w:r>
            <w:r>
              <w:rPr>
                <w:rFonts w:hint="eastAsia" w:ascii="黑体" w:hAnsi="黑体" w:eastAsia="黑体" w:cs="黑体"/>
              </w:rPr>
              <w:sym w:font="Wingdings 2" w:char="00A3"/>
            </w:r>
            <w:r>
              <w:rPr>
                <w:rFonts w:hint="eastAsia" w:ascii="黑体" w:hAnsi="黑体" w:eastAsia="黑体" w:cs="黑体"/>
              </w:rPr>
              <w:t>装饰装修  □完工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75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</w:rPr>
              <w:t>工程工期</w:t>
            </w:r>
            <w:r>
              <w:rPr>
                <w:rFonts w:hint="eastAsia" w:ascii="黑体" w:hAnsi="黑体" w:eastAsia="黑体" w:cs="黑体"/>
                <w:b/>
                <w:color w:val="FF0000"/>
              </w:rPr>
              <w:t>*</w:t>
            </w:r>
          </w:p>
        </w:tc>
        <w:tc>
          <w:tcPr>
            <w:tcW w:w="151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</w:rPr>
              <w:t>开工时间</w:t>
            </w:r>
          </w:p>
        </w:tc>
        <w:tc>
          <w:tcPr>
            <w:tcW w:w="1909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61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黑体" w:hAnsi="黑体" w:eastAsia="黑体" w:cs="黑体"/>
              </w:rPr>
              <w:t>完工时间</w:t>
            </w:r>
          </w:p>
        </w:tc>
        <w:tc>
          <w:tcPr>
            <w:tcW w:w="2476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75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</w:rPr>
              <w:t>保单起止</w:t>
            </w:r>
            <w:r>
              <w:rPr>
                <w:rFonts w:hint="eastAsia" w:ascii="黑体" w:hAnsi="黑体" w:eastAsia="黑体" w:cs="黑体"/>
                <w:b/>
                <w:color w:val="FF0000"/>
              </w:rPr>
              <w:t>*</w:t>
            </w:r>
          </w:p>
        </w:tc>
        <w:tc>
          <w:tcPr>
            <w:tcW w:w="151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</w:rPr>
              <w:t>开始时间</w:t>
            </w:r>
          </w:p>
        </w:tc>
        <w:tc>
          <w:tcPr>
            <w:tcW w:w="1909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61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黑体" w:hAnsi="黑体" w:eastAsia="黑体" w:cs="黑体"/>
              </w:rPr>
              <w:t>结束时间</w:t>
            </w:r>
          </w:p>
        </w:tc>
        <w:tc>
          <w:tcPr>
            <w:tcW w:w="2476" w:type="dxa"/>
            <w:gridSpan w:val="2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4" w:hRule="atLeast"/>
        </w:trPr>
        <w:tc>
          <w:tcPr>
            <w:tcW w:w="175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b/>
              </w:rPr>
            </w:pPr>
            <w:r>
              <w:rPr>
                <w:rFonts w:hint="eastAsia" w:ascii="黑体" w:hAnsi="黑体" w:eastAsia="黑体" w:cs="黑体"/>
                <w:b/>
                <w:lang w:eastAsia="zh-CN"/>
              </w:rPr>
              <w:t>总结分析</w:t>
            </w:r>
            <w:r>
              <w:rPr>
                <w:rFonts w:hint="eastAsia" w:ascii="黑体" w:hAnsi="黑体" w:eastAsia="黑体" w:cs="黑体"/>
                <w:b/>
                <w:color w:val="FF0000"/>
              </w:rPr>
              <w:t>*</w:t>
            </w:r>
            <w:r>
              <w:rPr>
                <w:rFonts w:hint="eastAsia" w:ascii="黑体" w:hAnsi="黑体" w:eastAsia="黑体" w:cs="黑体"/>
                <w:b/>
              </w:rPr>
              <w:t xml:space="preserve"> </w:t>
            </w:r>
          </w:p>
        </w:tc>
        <w:tc>
          <w:tcPr>
            <w:tcW w:w="7512" w:type="dxa"/>
            <w:gridSpan w:val="7"/>
            <w:vAlign w:val="center"/>
          </w:tcPr>
          <w:p>
            <w:pPr>
              <w:pStyle w:val="3"/>
              <w:rPr>
                <w:rFonts w:hint="eastAsia" w:ascii="黑体" w:hAnsi="黑体" w:eastAsia="黑体" w:cs="黑体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lang w:val="en-US" w:eastAsia="zh-CN" w:bidi="ar-SA"/>
              </w:rPr>
              <w:t>一、隐患排查整改情况</w:t>
            </w:r>
          </w:p>
          <w:p>
            <w:pPr>
              <w:pStyle w:val="3"/>
              <w:numPr>
                <w:ilvl w:val="0"/>
                <w:numId w:val="0"/>
              </w:numPr>
              <w:rPr>
                <w:rFonts w:hint="eastAsia" w:ascii="黑体" w:hAnsi="黑体" w:eastAsia="黑体" w:cs="黑体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lang w:val="en-US" w:eastAsia="zh-CN" w:bidi="ar-SA"/>
              </w:rPr>
              <w:t>二、安全总体情况及施工亮点</w:t>
            </w:r>
          </w:p>
          <w:p>
            <w:pPr>
              <w:pStyle w:val="3"/>
              <w:numPr>
                <w:ilvl w:val="0"/>
                <w:numId w:val="0"/>
              </w:numPr>
              <w:rPr>
                <w:rFonts w:hint="eastAsia" w:ascii="黑体" w:hAnsi="黑体" w:eastAsia="黑体" w:cs="黑体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lang w:val="en-US" w:eastAsia="zh-CN" w:bidi="ar-SA"/>
              </w:rPr>
              <w:t>三、存在主要问题；</w:t>
            </w:r>
          </w:p>
          <w:p>
            <w:pPr>
              <w:pStyle w:val="3"/>
              <w:numPr>
                <w:ilvl w:val="0"/>
                <w:numId w:val="0"/>
              </w:numPr>
              <w:rPr>
                <w:rFonts w:hint="eastAsia" w:ascii="黑体" w:hAnsi="黑体" w:eastAsia="黑体" w:cs="黑体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lang w:val="en-US" w:eastAsia="zh-CN" w:bidi="ar-SA"/>
              </w:rPr>
              <w:t>四、改进措施建议；</w:t>
            </w:r>
          </w:p>
          <w:p>
            <w:pPr>
              <w:pStyle w:val="3"/>
              <w:numPr>
                <w:ilvl w:val="0"/>
                <w:numId w:val="0"/>
              </w:numPr>
              <w:rPr>
                <w:rFonts w:hint="default" w:ascii="黑体" w:hAnsi="黑体" w:eastAsia="黑体" w:cs="黑体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lang w:val="en-US" w:eastAsia="zh-CN" w:bidi="ar-SA"/>
              </w:rPr>
              <w:t>五、总体评价</w:t>
            </w:r>
          </w:p>
          <w:p>
            <w:pPr>
              <w:pStyle w:val="3"/>
              <w:rPr>
                <w:rFonts w:hint="eastAsia" w:ascii="黑体" w:hAnsi="黑体" w:eastAsia="黑体" w:cs="黑体"/>
                <w:lang w:val="en-US" w:eastAsia="zh-CN" w:bidi="ar-SA"/>
              </w:rPr>
            </w:pPr>
          </w:p>
          <w:p>
            <w:pPr>
              <w:pStyle w:val="3"/>
              <w:rPr>
                <w:rFonts w:ascii="黑体" w:hAnsi="黑体" w:eastAsia="黑体" w:cs="黑体"/>
                <w:lang w:val="en-US" w:bidi="ar-SA"/>
              </w:rPr>
            </w:pPr>
          </w:p>
          <w:p>
            <w:pPr>
              <w:pStyle w:val="3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755" w:type="dxa"/>
            <w:vAlign w:val="center"/>
          </w:tcPr>
          <w:p>
            <w:pPr>
              <w:spacing w:line="240" w:lineRule="auto"/>
              <w:jc w:val="center"/>
              <w:rPr>
                <w:rFonts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1、安全管理</w:t>
            </w:r>
          </w:p>
        </w:tc>
        <w:tc>
          <w:tcPr>
            <w:tcW w:w="7512" w:type="dxa"/>
            <w:gridSpan w:val="7"/>
          </w:tcPr>
          <w:p>
            <w:pPr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755" w:type="dxa"/>
            <w:vAlign w:val="center"/>
          </w:tcPr>
          <w:p>
            <w:pPr>
              <w:spacing w:line="240" w:lineRule="auto"/>
              <w:jc w:val="center"/>
              <w:rPr>
                <w:rFonts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2、脚手架</w:t>
            </w:r>
          </w:p>
        </w:tc>
        <w:tc>
          <w:tcPr>
            <w:tcW w:w="7512" w:type="dxa"/>
            <w:gridSpan w:val="7"/>
          </w:tcPr>
          <w:p>
            <w:pPr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755" w:type="dxa"/>
            <w:vAlign w:val="center"/>
          </w:tcPr>
          <w:p>
            <w:pPr>
              <w:spacing w:line="240" w:lineRule="auto"/>
              <w:jc w:val="center"/>
              <w:rPr>
                <w:rFonts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3、基坑工程</w:t>
            </w:r>
          </w:p>
        </w:tc>
        <w:tc>
          <w:tcPr>
            <w:tcW w:w="7512" w:type="dxa"/>
            <w:gridSpan w:val="7"/>
          </w:tcPr>
          <w:p>
            <w:pPr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755" w:type="dxa"/>
            <w:vAlign w:val="center"/>
          </w:tcPr>
          <w:p>
            <w:pPr>
              <w:spacing w:line="240" w:lineRule="auto"/>
              <w:jc w:val="center"/>
              <w:rPr>
                <w:rFonts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4、模板支架</w:t>
            </w:r>
          </w:p>
        </w:tc>
        <w:tc>
          <w:tcPr>
            <w:tcW w:w="7512" w:type="dxa"/>
            <w:gridSpan w:val="7"/>
          </w:tcPr>
          <w:p>
            <w:pPr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755" w:type="dxa"/>
            <w:vAlign w:val="center"/>
          </w:tcPr>
          <w:p>
            <w:pPr>
              <w:spacing w:line="240" w:lineRule="auto"/>
              <w:jc w:val="center"/>
              <w:rPr>
                <w:rFonts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5、高处作业</w:t>
            </w:r>
          </w:p>
        </w:tc>
        <w:tc>
          <w:tcPr>
            <w:tcW w:w="7512" w:type="dxa"/>
            <w:gridSpan w:val="7"/>
          </w:tcPr>
          <w:p>
            <w:pPr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755" w:type="dxa"/>
            <w:vAlign w:val="center"/>
          </w:tcPr>
          <w:p>
            <w:pPr>
              <w:spacing w:line="240" w:lineRule="auto"/>
              <w:jc w:val="center"/>
              <w:rPr>
                <w:rFonts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6、施工用电</w:t>
            </w:r>
          </w:p>
        </w:tc>
        <w:tc>
          <w:tcPr>
            <w:tcW w:w="7512" w:type="dxa"/>
            <w:gridSpan w:val="7"/>
          </w:tcPr>
          <w:p>
            <w:pPr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755" w:type="dxa"/>
            <w:vAlign w:val="center"/>
          </w:tcPr>
          <w:p>
            <w:pPr>
              <w:spacing w:line="240" w:lineRule="auto"/>
              <w:jc w:val="center"/>
              <w:rPr>
                <w:rFonts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7、施工升降机使用与安拆</w:t>
            </w:r>
          </w:p>
        </w:tc>
        <w:tc>
          <w:tcPr>
            <w:tcW w:w="7512" w:type="dxa"/>
            <w:gridSpan w:val="7"/>
          </w:tcPr>
          <w:p>
            <w:pPr>
              <w:pStyle w:val="2"/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755" w:type="dxa"/>
            <w:vAlign w:val="center"/>
          </w:tcPr>
          <w:p>
            <w:pPr>
              <w:spacing w:line="240" w:lineRule="auto"/>
              <w:jc w:val="center"/>
              <w:rPr>
                <w:rFonts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8、塔式起重机使用与安拆</w:t>
            </w:r>
          </w:p>
        </w:tc>
        <w:tc>
          <w:tcPr>
            <w:tcW w:w="7512" w:type="dxa"/>
            <w:gridSpan w:val="7"/>
          </w:tcPr>
          <w:p>
            <w:pPr>
              <w:pStyle w:val="2"/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755" w:type="dxa"/>
            <w:vAlign w:val="center"/>
          </w:tcPr>
          <w:p>
            <w:pPr>
              <w:spacing w:line="240" w:lineRule="auto"/>
              <w:jc w:val="center"/>
              <w:rPr>
                <w:rFonts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9、起重吊装</w:t>
            </w:r>
          </w:p>
        </w:tc>
        <w:tc>
          <w:tcPr>
            <w:tcW w:w="7512" w:type="dxa"/>
            <w:gridSpan w:val="7"/>
          </w:tcPr>
          <w:p>
            <w:pPr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755" w:type="dxa"/>
            <w:vAlign w:val="center"/>
          </w:tcPr>
          <w:p>
            <w:pPr>
              <w:spacing w:line="240" w:lineRule="auto"/>
              <w:jc w:val="center"/>
              <w:rPr>
                <w:rFonts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10、混凝土预制构件安装</w:t>
            </w:r>
          </w:p>
        </w:tc>
        <w:tc>
          <w:tcPr>
            <w:tcW w:w="7512" w:type="dxa"/>
            <w:gridSpan w:val="7"/>
          </w:tcPr>
          <w:p>
            <w:pPr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755" w:type="dxa"/>
            <w:vAlign w:val="center"/>
          </w:tcPr>
          <w:p>
            <w:pPr>
              <w:spacing w:line="240" w:lineRule="auto"/>
              <w:jc w:val="center"/>
              <w:rPr>
                <w:rFonts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11、盾构作业</w:t>
            </w:r>
          </w:p>
        </w:tc>
        <w:tc>
          <w:tcPr>
            <w:tcW w:w="7512" w:type="dxa"/>
            <w:gridSpan w:val="7"/>
          </w:tcPr>
          <w:p>
            <w:pPr>
              <w:pStyle w:val="2"/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755" w:type="dxa"/>
            <w:vAlign w:val="center"/>
          </w:tcPr>
          <w:p>
            <w:pPr>
              <w:spacing w:line="240" w:lineRule="auto"/>
              <w:jc w:val="center"/>
              <w:rPr>
                <w:rFonts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12、顶管作业</w:t>
            </w:r>
          </w:p>
        </w:tc>
        <w:tc>
          <w:tcPr>
            <w:tcW w:w="7512" w:type="dxa"/>
            <w:gridSpan w:val="7"/>
          </w:tcPr>
          <w:p>
            <w:pPr>
              <w:pStyle w:val="2"/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755" w:type="dxa"/>
            <w:vAlign w:val="center"/>
          </w:tcPr>
          <w:p>
            <w:pPr>
              <w:spacing w:line="240" w:lineRule="auto"/>
              <w:jc w:val="center"/>
              <w:rPr>
                <w:rFonts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13、施工机具</w:t>
            </w:r>
          </w:p>
        </w:tc>
        <w:tc>
          <w:tcPr>
            <w:tcW w:w="7512" w:type="dxa"/>
            <w:gridSpan w:val="7"/>
          </w:tcPr>
          <w:p>
            <w:pPr>
              <w:pStyle w:val="2"/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755" w:type="dxa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1</w:t>
            </w:r>
            <w:r>
              <w:rPr>
                <w:rFonts w:ascii="仿宋" w:hAnsi="仿宋" w:eastAsia="仿宋" w:cs="仿宋"/>
                <w:bCs/>
                <w:sz w:val="21"/>
                <w:szCs w:val="21"/>
              </w:rPr>
              <w:t>4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、履带吊或汽车吊作业</w:t>
            </w:r>
          </w:p>
        </w:tc>
        <w:tc>
          <w:tcPr>
            <w:tcW w:w="7512" w:type="dxa"/>
            <w:gridSpan w:val="7"/>
          </w:tcPr>
          <w:p>
            <w:pPr>
              <w:pStyle w:val="2"/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755" w:type="dxa"/>
            <w:vAlign w:val="center"/>
          </w:tcPr>
          <w:p>
            <w:pPr>
              <w:spacing w:line="240" w:lineRule="auto"/>
              <w:jc w:val="center"/>
              <w:rPr>
                <w:rFonts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1</w:t>
            </w:r>
            <w:r>
              <w:rPr>
                <w:rFonts w:ascii="仿宋" w:hAnsi="仿宋" w:eastAsia="仿宋" w:cs="仿宋"/>
                <w:bCs/>
                <w:sz w:val="21"/>
                <w:szCs w:val="21"/>
              </w:rPr>
              <w:t>5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、矿山法、暗挖法隧道作业</w:t>
            </w:r>
          </w:p>
        </w:tc>
        <w:tc>
          <w:tcPr>
            <w:tcW w:w="7512" w:type="dxa"/>
            <w:gridSpan w:val="7"/>
          </w:tcPr>
          <w:p>
            <w:pPr>
              <w:pStyle w:val="2"/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755" w:type="dxa"/>
            <w:vAlign w:val="center"/>
          </w:tcPr>
          <w:p>
            <w:pPr>
              <w:spacing w:line="240" w:lineRule="auto"/>
              <w:jc w:val="center"/>
              <w:rPr>
                <w:rFonts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1</w:t>
            </w:r>
            <w:r>
              <w:rPr>
                <w:rFonts w:ascii="仿宋" w:hAnsi="仿宋" w:eastAsia="仿宋" w:cs="仿宋"/>
                <w:bCs/>
                <w:sz w:val="21"/>
                <w:szCs w:val="21"/>
              </w:rPr>
              <w:t>6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、恶劣天气</w:t>
            </w:r>
          </w:p>
        </w:tc>
        <w:tc>
          <w:tcPr>
            <w:tcW w:w="7512" w:type="dxa"/>
            <w:gridSpan w:val="7"/>
          </w:tcPr>
          <w:p>
            <w:pPr>
              <w:pStyle w:val="2"/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755" w:type="dxa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1</w:t>
            </w:r>
            <w:r>
              <w:rPr>
                <w:rFonts w:ascii="仿宋" w:hAnsi="仿宋" w:eastAsia="仿宋" w:cs="仿宋"/>
                <w:bCs/>
                <w:sz w:val="21"/>
                <w:szCs w:val="21"/>
              </w:rPr>
              <w:t>7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、现场消防</w:t>
            </w:r>
          </w:p>
        </w:tc>
        <w:tc>
          <w:tcPr>
            <w:tcW w:w="7512" w:type="dxa"/>
            <w:gridSpan w:val="7"/>
          </w:tcPr>
          <w:p>
            <w:pPr>
              <w:pStyle w:val="2"/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755" w:type="dxa"/>
            <w:vAlign w:val="center"/>
          </w:tcPr>
          <w:p>
            <w:pPr>
              <w:spacing w:line="240" w:lineRule="auto"/>
              <w:jc w:val="center"/>
              <w:rPr>
                <w:rFonts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1</w:t>
            </w:r>
            <w:r>
              <w:rPr>
                <w:rFonts w:ascii="仿宋" w:hAnsi="仿宋" w:eastAsia="仿宋" w:cs="仿宋"/>
                <w:bCs/>
                <w:sz w:val="21"/>
                <w:szCs w:val="21"/>
              </w:rPr>
              <w:t>8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、施工现场</w:t>
            </w:r>
          </w:p>
        </w:tc>
        <w:tc>
          <w:tcPr>
            <w:tcW w:w="7512" w:type="dxa"/>
            <w:gridSpan w:val="7"/>
          </w:tcPr>
          <w:p>
            <w:pPr>
              <w:pStyle w:val="2"/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755" w:type="dxa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1</w:t>
            </w:r>
            <w:r>
              <w:rPr>
                <w:rFonts w:ascii="仿宋" w:hAnsi="仿宋" w:eastAsia="仿宋" w:cs="仿宋"/>
                <w:bCs/>
                <w:sz w:val="21"/>
                <w:szCs w:val="21"/>
              </w:rPr>
              <w:t>9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、其他</w:t>
            </w:r>
          </w:p>
        </w:tc>
        <w:tc>
          <w:tcPr>
            <w:tcW w:w="7512" w:type="dxa"/>
            <w:gridSpan w:val="7"/>
          </w:tcPr>
          <w:p>
            <w:pPr>
              <w:pStyle w:val="2"/>
              <w:spacing w:line="360" w:lineRule="auto"/>
              <w:ind w:firstLine="560" w:firstLineChars="200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</w:tbl>
    <w:p>
      <w:pPr>
        <w:spacing w:line="360" w:lineRule="auto"/>
        <w:jc w:val="center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br w:type="page"/>
      </w:r>
    </w:p>
    <w:tbl>
      <w:tblPr>
        <w:tblStyle w:val="11"/>
        <w:tblW w:w="886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788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b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统计数据</w:t>
            </w:r>
          </w:p>
        </w:tc>
        <w:tc>
          <w:tcPr>
            <w:tcW w:w="7886" w:type="dxa"/>
            <w:shd w:val="clear" w:color="auto" w:fill="FFFF00"/>
            <w:vAlign w:val="center"/>
          </w:tcPr>
          <w:p>
            <w:pPr>
              <w:spacing w:line="360" w:lineRule="auto"/>
              <w:jc w:val="center"/>
              <w:rPr>
                <w:rFonts w:ascii="仿宋" w:hAnsi="仿宋" w:cs="宋体"/>
                <w:b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本季度检查安全风险数据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5" w:hRule="atLeast"/>
        </w:trPr>
        <w:tc>
          <w:tcPr>
            <w:tcW w:w="979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b/>
              </w:rPr>
            </w:pPr>
          </w:p>
        </w:tc>
        <w:tc>
          <w:tcPr>
            <w:tcW w:w="78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b/>
              </w:rPr>
            </w:pPr>
            <w:r>
              <w:rPr>
                <w:rFonts w:hint="eastAsia" w:ascii="宋体" w:hAnsi="宋体" w:cs="Times New Roman"/>
                <w:b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-2965450</wp:posOffset>
                  </wp:positionV>
                  <wp:extent cx="4605655" cy="2971800"/>
                  <wp:effectExtent l="0" t="0" r="4445" b="0"/>
                  <wp:wrapSquare wrapText="bothSides"/>
                  <wp:docPr id="1" name="图表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"/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979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b/>
              </w:rPr>
            </w:pPr>
          </w:p>
        </w:tc>
        <w:tc>
          <w:tcPr>
            <w:tcW w:w="78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b/>
              </w:rPr>
            </w:pPr>
            <w:r>
              <w:rPr>
                <w:rFonts w:hint="eastAsia" w:ascii="宋体" w:hAnsi="宋体" w:cs="Times New Roman"/>
                <w:b/>
                <w:sz w:val="28"/>
                <w:szCs w:val="28"/>
              </w:rPr>
              <w:t>本季度检查隐患整改率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979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b/>
              </w:rPr>
            </w:pPr>
          </w:p>
        </w:tc>
        <w:tc>
          <w:tcPr>
            <w:tcW w:w="78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b/>
              </w:rPr>
            </w:pPr>
            <w:r>
              <w:rPr>
                <w:rFonts w:hint="eastAsia" w:ascii="宋体" w:hAnsi="宋体" w:cs="Times New Roman"/>
                <w:b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-3298825</wp:posOffset>
                  </wp:positionV>
                  <wp:extent cx="4662805" cy="3286125"/>
                  <wp:effectExtent l="0" t="0" r="4445" b="9525"/>
                  <wp:wrapSquare wrapText="bothSides"/>
                  <wp:docPr id="3" name="图表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9" w:hRule="atLeast"/>
        </w:trPr>
        <w:tc>
          <w:tcPr>
            <w:tcW w:w="979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b/>
              </w:rPr>
            </w:pPr>
          </w:p>
        </w:tc>
        <w:tc>
          <w:tcPr>
            <w:tcW w:w="78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drawing>
                <wp:inline distT="0" distB="0" distL="114300" distR="114300">
                  <wp:extent cx="4596130" cy="2575560"/>
                  <wp:effectExtent l="0" t="0" r="13970" b="15240"/>
                  <wp:docPr id="4" name="图表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9" w:hRule="atLeast"/>
        </w:trPr>
        <w:tc>
          <w:tcPr>
            <w:tcW w:w="979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b/>
              </w:rPr>
            </w:pPr>
          </w:p>
        </w:tc>
        <w:tc>
          <w:tcPr>
            <w:tcW w:w="78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drawing>
                <wp:inline distT="0" distB="0" distL="114300" distR="114300">
                  <wp:extent cx="4634230" cy="2648585"/>
                  <wp:effectExtent l="0" t="0" r="13970" b="18415"/>
                  <wp:docPr id="8" name="图表 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atLeast"/>
        </w:trPr>
        <w:tc>
          <w:tcPr>
            <w:tcW w:w="979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b/>
              </w:rPr>
            </w:pPr>
          </w:p>
        </w:tc>
        <w:tc>
          <w:tcPr>
            <w:tcW w:w="78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drawing>
                <wp:inline distT="0" distB="0" distL="114300" distR="114300">
                  <wp:extent cx="4600575" cy="2705100"/>
                  <wp:effectExtent l="0" t="0" r="9525" b="0"/>
                  <wp:docPr id="9" name="图表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atLeast"/>
        </w:trPr>
        <w:tc>
          <w:tcPr>
            <w:tcW w:w="979" w:type="dxa"/>
            <w:vMerge w:val="continue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b/>
              </w:rPr>
            </w:pPr>
          </w:p>
        </w:tc>
        <w:tc>
          <w:tcPr>
            <w:tcW w:w="78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drawing>
                <wp:inline distT="0" distB="0" distL="114300" distR="114300">
                  <wp:extent cx="4615180" cy="2966085"/>
                  <wp:effectExtent l="0" t="0" r="13970" b="5715"/>
                  <wp:docPr id="10" name="图表 1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8865" w:type="dxa"/>
            <w:gridSpan w:val="2"/>
            <w:vAlign w:val="center"/>
          </w:tcPr>
          <w:p>
            <w:pPr>
              <w:spacing w:line="360" w:lineRule="auto"/>
              <w:ind w:firstLine="560" w:firstLineChars="200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以上为季度分析报告，本工程安全责任险季度分析报告服务为（ 1 ）次，本次为第（ 1 ）次。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altName w:val="文泉驿微米黑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thickThinSmallGap" w:color="FF0000" w:sz="12" w:space="1"/>
      </w:pBdr>
    </w:pPr>
    <w:r>
      <w:rPr>
        <w:rFonts w:hint="eastAsia"/>
      </w:rPr>
      <w:t xml:space="preserve">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iYjc5NGIxNzMyMWE3ODgxNTU2YzAxY2E5M2NmYTUifQ=="/>
  </w:docVars>
  <w:rsids>
    <w:rsidRoot w:val="0A3E07EA"/>
    <w:rsid w:val="000A73FB"/>
    <w:rsid w:val="000B3225"/>
    <w:rsid w:val="000F4C72"/>
    <w:rsid w:val="003A528E"/>
    <w:rsid w:val="003D47D6"/>
    <w:rsid w:val="006464C2"/>
    <w:rsid w:val="006D4EDD"/>
    <w:rsid w:val="006F36F6"/>
    <w:rsid w:val="007C1409"/>
    <w:rsid w:val="00896384"/>
    <w:rsid w:val="00A51A38"/>
    <w:rsid w:val="00B850DA"/>
    <w:rsid w:val="00B9623D"/>
    <w:rsid w:val="00B97B96"/>
    <w:rsid w:val="00D3602E"/>
    <w:rsid w:val="00E41F7B"/>
    <w:rsid w:val="00E95981"/>
    <w:rsid w:val="00F870EC"/>
    <w:rsid w:val="01993D60"/>
    <w:rsid w:val="02234555"/>
    <w:rsid w:val="06DB5D0C"/>
    <w:rsid w:val="07AA280F"/>
    <w:rsid w:val="0A3E07EA"/>
    <w:rsid w:val="0C6A6EBC"/>
    <w:rsid w:val="0F3A080F"/>
    <w:rsid w:val="109E4345"/>
    <w:rsid w:val="11711E8A"/>
    <w:rsid w:val="12601254"/>
    <w:rsid w:val="17FD19A5"/>
    <w:rsid w:val="18BB78CB"/>
    <w:rsid w:val="1CC720F7"/>
    <w:rsid w:val="1F774472"/>
    <w:rsid w:val="1FF93EF0"/>
    <w:rsid w:val="2BBA2E89"/>
    <w:rsid w:val="2EFB570B"/>
    <w:rsid w:val="2FD1FE0A"/>
    <w:rsid w:val="30FEA241"/>
    <w:rsid w:val="377D03CF"/>
    <w:rsid w:val="39FF44E1"/>
    <w:rsid w:val="3BABDCB5"/>
    <w:rsid w:val="3BCE03D3"/>
    <w:rsid w:val="3C1C4D96"/>
    <w:rsid w:val="3D1BAC5B"/>
    <w:rsid w:val="3DF61E25"/>
    <w:rsid w:val="3E510DE1"/>
    <w:rsid w:val="3F36541A"/>
    <w:rsid w:val="403D352D"/>
    <w:rsid w:val="4589256C"/>
    <w:rsid w:val="46124E15"/>
    <w:rsid w:val="48013ABC"/>
    <w:rsid w:val="48627FD5"/>
    <w:rsid w:val="48F443C8"/>
    <w:rsid w:val="4A835FE1"/>
    <w:rsid w:val="4AE25E8F"/>
    <w:rsid w:val="4B0F29EF"/>
    <w:rsid w:val="4B336BA5"/>
    <w:rsid w:val="4BECC00E"/>
    <w:rsid w:val="4DEF0440"/>
    <w:rsid w:val="51271DBC"/>
    <w:rsid w:val="54736DA5"/>
    <w:rsid w:val="5B1D5A6F"/>
    <w:rsid w:val="5BDFE20F"/>
    <w:rsid w:val="5DFF87E8"/>
    <w:rsid w:val="5EFA7CCD"/>
    <w:rsid w:val="63A63014"/>
    <w:rsid w:val="652719E3"/>
    <w:rsid w:val="674237E6"/>
    <w:rsid w:val="679917C3"/>
    <w:rsid w:val="683120C0"/>
    <w:rsid w:val="68CE6246"/>
    <w:rsid w:val="693D7C62"/>
    <w:rsid w:val="6B104297"/>
    <w:rsid w:val="6DD6649E"/>
    <w:rsid w:val="6F577C9B"/>
    <w:rsid w:val="6FE783E6"/>
    <w:rsid w:val="70B264D5"/>
    <w:rsid w:val="70BFDA09"/>
    <w:rsid w:val="70DFD98A"/>
    <w:rsid w:val="726F6843"/>
    <w:rsid w:val="74FEBEF4"/>
    <w:rsid w:val="76D9C309"/>
    <w:rsid w:val="7B775146"/>
    <w:rsid w:val="7BBE165A"/>
    <w:rsid w:val="7C9B1A5D"/>
    <w:rsid w:val="7CDC3669"/>
    <w:rsid w:val="7CF9C253"/>
    <w:rsid w:val="7D5DE708"/>
    <w:rsid w:val="7E5FA025"/>
    <w:rsid w:val="7ECF0123"/>
    <w:rsid w:val="7EFDBE57"/>
    <w:rsid w:val="7F233C78"/>
    <w:rsid w:val="7F7D58EC"/>
    <w:rsid w:val="7F7DAE47"/>
    <w:rsid w:val="7F881779"/>
    <w:rsid w:val="7FDB55D9"/>
    <w:rsid w:val="88F5C04B"/>
    <w:rsid w:val="8FBFBE39"/>
    <w:rsid w:val="8FD53A3F"/>
    <w:rsid w:val="9D4B5CFF"/>
    <w:rsid w:val="9F5D15C4"/>
    <w:rsid w:val="A2A64C1C"/>
    <w:rsid w:val="A5E72CCA"/>
    <w:rsid w:val="A7FA1DD0"/>
    <w:rsid w:val="B38C72B6"/>
    <w:rsid w:val="B6FB2C40"/>
    <w:rsid w:val="BA7B23C6"/>
    <w:rsid w:val="BBD065C5"/>
    <w:rsid w:val="BBFD44EA"/>
    <w:rsid w:val="BBFD4577"/>
    <w:rsid w:val="BDF3E6B1"/>
    <w:rsid w:val="BFF1BFC7"/>
    <w:rsid w:val="CCFD9C12"/>
    <w:rsid w:val="CFECA585"/>
    <w:rsid w:val="D77B75C5"/>
    <w:rsid w:val="D77DE4DF"/>
    <w:rsid w:val="D7FD00BE"/>
    <w:rsid w:val="DBFB2C62"/>
    <w:rsid w:val="DC9B1157"/>
    <w:rsid w:val="DD79E5EE"/>
    <w:rsid w:val="DEFE58AC"/>
    <w:rsid w:val="DF7FC083"/>
    <w:rsid w:val="DFD63E17"/>
    <w:rsid w:val="DFFFBCF1"/>
    <w:rsid w:val="E5BCC5CE"/>
    <w:rsid w:val="EABF0D04"/>
    <w:rsid w:val="EDFDE9FE"/>
    <w:rsid w:val="EF764A3C"/>
    <w:rsid w:val="EFBB0F01"/>
    <w:rsid w:val="EFEB910D"/>
    <w:rsid w:val="EFEF5415"/>
    <w:rsid w:val="EFF50770"/>
    <w:rsid w:val="EFF7F441"/>
    <w:rsid w:val="EFFF57FC"/>
    <w:rsid w:val="F2EB8756"/>
    <w:rsid w:val="F5F7502D"/>
    <w:rsid w:val="F65B2276"/>
    <w:rsid w:val="F6BFE27B"/>
    <w:rsid w:val="F6EE0829"/>
    <w:rsid w:val="F6F76A67"/>
    <w:rsid w:val="F6F8F75C"/>
    <w:rsid w:val="F7AC7B7B"/>
    <w:rsid w:val="F7BE8AEC"/>
    <w:rsid w:val="F7D3FDDD"/>
    <w:rsid w:val="F8B5F07A"/>
    <w:rsid w:val="F964EBA9"/>
    <w:rsid w:val="FAFD563A"/>
    <w:rsid w:val="FB3F0AD6"/>
    <w:rsid w:val="FB67C343"/>
    <w:rsid w:val="FB7F4B03"/>
    <w:rsid w:val="FBD7EFF8"/>
    <w:rsid w:val="FD77BDEA"/>
    <w:rsid w:val="FD7F25CB"/>
    <w:rsid w:val="FDEFBD82"/>
    <w:rsid w:val="FE734873"/>
    <w:rsid w:val="FE7F1535"/>
    <w:rsid w:val="FEFF7D2C"/>
    <w:rsid w:val="FF6FE9C1"/>
    <w:rsid w:val="FFDB7489"/>
    <w:rsid w:val="FFDF915A"/>
    <w:rsid w:val="FFF7A23C"/>
    <w:rsid w:val="FFFFF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4">
    <w:name w:val="heading 1"/>
    <w:basedOn w:val="1"/>
    <w:next w:val="1"/>
    <w:link w:val="16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next w:val="3"/>
    <w:qFormat/>
    <w:uiPriority w:val="0"/>
    <w:pPr>
      <w:adjustRightInd w:val="0"/>
      <w:spacing w:line="420" w:lineRule="atLeast"/>
      <w:jc w:val="left"/>
      <w:textAlignment w:val="baseline"/>
    </w:pPr>
    <w:rPr>
      <w:kern w:val="0"/>
      <w:szCs w:val="20"/>
    </w:rPr>
  </w:style>
  <w:style w:type="paragraph" w:styleId="3">
    <w:name w:val="Body Text"/>
    <w:basedOn w:val="1"/>
    <w:qFormat/>
    <w:uiPriority w:val="1"/>
    <w:rPr>
      <w:rFonts w:ascii="仿宋" w:hAnsi="仿宋" w:eastAsia="仿宋" w:cs="仿宋"/>
      <w:lang w:val="zh-CN" w:bidi="zh-CN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</w:rPr>
  </w:style>
  <w:style w:type="paragraph" w:styleId="9">
    <w:name w:val="Body Text First Indent 2"/>
    <w:basedOn w:val="5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customStyle="1" w:styleId="15">
    <w:name w:val="WPSOffice手动目录 1"/>
    <w:qFormat/>
    <w:uiPriority w:val="0"/>
    <w:rPr>
      <w:rFonts w:asciiTheme="minorHAnsi" w:hAnsiTheme="minorHAnsi" w:eastAsiaTheme="minorHAnsi" w:cstheme="minorBidi"/>
      <w:lang w:val="en-US" w:eastAsia="zh-CN" w:bidi="ar-SA"/>
    </w:rPr>
  </w:style>
  <w:style w:type="character" w:customStyle="1" w:styleId="16">
    <w:name w:val="标题 1 字符"/>
    <w:link w:val="4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hart" Target="charts/chart5.xml"/><Relationship Id="rId8" Type="http://schemas.openxmlformats.org/officeDocument/2006/relationships/chart" Target="charts/chart4.xml"/><Relationship Id="rId7" Type="http://schemas.openxmlformats.org/officeDocument/2006/relationships/chart" Target="charts/chart3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chart" Target="charts/chart6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5.xml"/><Relationship Id="rId2" Type="http://schemas.microsoft.com/office/2011/relationships/chartStyle" Target="style5.xml"/><Relationship Id="rId1" Type="http://schemas.openxmlformats.org/officeDocument/2006/relationships/package" Target="../embeddings/Workbook5.xlsx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package" Target="../embeddings/Workbook3.xlsx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ColorStyle" Target="colors6.xml"/><Relationship Id="rId2" Type="http://schemas.microsoft.com/office/2011/relationships/chartStyle" Target="style6.xml"/><Relationship Id="rId1" Type="http://schemas.openxmlformats.org/officeDocument/2006/relationships/package" Target="../embeddings/Workbook6.xlsx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microsoft.com/office/2011/relationships/chartStyle" Target="style4.xml"/><Relationship Id="rId1" Type="http://schemas.openxmlformats.org/officeDocument/2006/relationships/package" Target="../embeddings/Workbook4.xlsx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package" Target="../embeddings/Workbook1.xlsx"/></Relationships>
</file>

<file path=word/charts/_rels/chart6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package" Target="../embeddings/Workbook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false"/>
  <c:lang val="zh-CN"/>
  <c:roundedCorners val="false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true"/>
    <c:plotArea>
      <c:layout/>
      <c:pieChart>
        <c:varyColors val="true"/>
        <c:ser>
          <c:idx val="0"/>
          <c:order val="0"/>
          <c:tx>
            <c:strRef>
              <c:f>Sheet1!$B$1</c:f>
              <c:strCache>
                <c:ptCount val="1"/>
                <c:pt idx="0">
                  <c:v>销售额</c:v>
                </c:pt>
              </c:strCache>
            </c:strRef>
          </c:tx>
          <c:spPr/>
          <c:explosion val="0"/>
          <c:dPt>
            <c:idx val="0"/>
            <c:bubble3D val="false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false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false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false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true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bestFit"/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true"/>
            <c:extLst>
              <c:ext xmlns:c15="http://schemas.microsoft.com/office/drawing/2012/chart" uri="{CE6537A1-D6FC-4f65-9D91-7224C49458BB}">
                <c15:layout/>
                <c15:showLeaderLines val="true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低风险</c:v>
                </c:pt>
                <c:pt idx="1">
                  <c:v>一般风险</c:v>
                </c:pt>
                <c:pt idx="2">
                  <c:v>较大风险</c:v>
                </c:pt>
                <c:pt idx="3">
                  <c:v>重大风险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14</c:v>
                </c:pt>
                <c:pt idx="1">
                  <c:v>12</c:v>
                </c:pt>
                <c:pt idx="2">
                  <c:v>7</c:v>
                </c:pt>
                <c:pt idx="3">
                  <c:v>0</c:v>
                </c:pt>
              </c:numCache>
            </c:numRef>
          </c:val>
        </c:ser>
        <c:dLbls>
          <c:showLegendKey val="false"/>
          <c:showVal val="true"/>
          <c:showCatName val="false"/>
          <c:showSerName val="false"/>
          <c:showPercent val="false"/>
          <c:showBubbleSize val="false"/>
          <c:showLeaderLines val="true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overlay val="false"/>
      <c:spPr>
        <a:noFill/>
        <a:ln>
          <a:noFill/>
        </a:ln>
        <a:effectLst/>
      </c:spPr>
      <c:txPr>
        <a:bodyPr rot="0" spcFirstLastPara="0" vertOverflow="ellipsis" vert="horz" wrap="square" anchor="ctr" anchorCtr="true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true"/>
    <c:dispBlanksAs val="gap"/>
    <c:showDLblsOverMax val="false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false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false"/>
  <c:lang val="zh-CN"/>
  <c:roundedCorners val="false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true"/>
    <c:plotArea>
      <c:layout/>
      <c:pieChart>
        <c:varyColors val="true"/>
        <c:ser>
          <c:idx val="0"/>
          <c:order val="0"/>
          <c:tx>
            <c:strRef>
              <c:f>Sheet1!$B$1</c:f>
              <c:strCache>
                <c:ptCount val="1"/>
                <c:pt idx="0">
                  <c:v>销售额</c:v>
                </c:pt>
              </c:strCache>
            </c:strRef>
          </c:tx>
          <c:spPr/>
          <c:explosion val="0"/>
          <c:dPt>
            <c:idx val="0"/>
            <c:bubble3D val="false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false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false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false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true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bestFit"/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true"/>
            <c:extLst>
              <c:ext xmlns:c15="http://schemas.microsoft.com/office/drawing/2012/chart" uri="{CE6537A1-D6FC-4f65-9D91-7224C49458BB}">
                <c15:layout/>
                <c15:showLeaderLines val="true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低风险</c:v>
                </c:pt>
                <c:pt idx="1">
                  <c:v>一般风险</c:v>
                </c:pt>
                <c:pt idx="2">
                  <c:v>较大风险</c:v>
                </c:pt>
                <c:pt idx="3">
                  <c:v>重大风险</c:v>
                </c:pt>
              </c:strCache>
            </c:strRef>
          </c:cat>
          <c:val>
            <c:numRef>
              <c:f>Sheet1!$B$2:$B$5</c:f>
              <c:numCache>
                <c:formatCode>0%</c:formatCode>
                <c:ptCount val="4"/>
                <c:pt idx="0">
                  <c:v>0.67</c:v>
                </c:pt>
                <c:pt idx="1">
                  <c:v>0.64</c:v>
                </c:pt>
                <c:pt idx="2">
                  <c:v>0.71</c:v>
                </c:pt>
                <c:pt idx="3" c:formatCode="General">
                  <c:v>0</c:v>
                </c:pt>
              </c:numCache>
            </c:numRef>
          </c:val>
        </c:ser>
        <c:dLbls>
          <c:showLegendKey val="false"/>
          <c:showVal val="true"/>
          <c:showCatName val="false"/>
          <c:showSerName val="false"/>
          <c:showPercent val="false"/>
          <c:showBubbleSize val="false"/>
          <c:showLeaderLines val="true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overlay val="false"/>
      <c:spPr>
        <a:noFill/>
        <a:ln>
          <a:noFill/>
        </a:ln>
        <a:effectLst/>
      </c:spPr>
      <c:txPr>
        <a:bodyPr rot="0" spcFirstLastPara="0" vertOverflow="ellipsis" vert="horz" wrap="square" anchor="ctr" anchorCtr="true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true"/>
    <c:dispBlanksAs val="gap"/>
    <c:showDLblsOverMax val="false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false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false"/>
  <c:lang val="zh-CN"/>
  <c:roundedCorners val="false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true"/>
          <a:lstStyle/>
          <a:p>
            <a:pPr defTabSz="914400">
              <a:defRPr lang="zh-CN"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200"/>
              <a:t>低风险分布</a:t>
            </a:r>
            <a:endParaRPr lang="zh-CN" altLang="en-US" sz="1200"/>
          </a:p>
        </c:rich>
      </c:tx>
      <c:layout/>
      <c:overlay val="false"/>
      <c:spPr>
        <a:noFill/>
        <a:ln>
          <a:noFill/>
        </a:ln>
        <a:effectLst/>
      </c:spPr>
    </c:title>
    <c:autoTitleDeleted val="false"/>
    <c:plotArea>
      <c:layout>
        <c:manualLayout>
          <c:layoutTarget val="inner"/>
          <c:xMode val="edge"/>
          <c:yMode val="edge"/>
          <c:x val="0.0830683458061925"/>
          <c:y val="0.139355123674912"/>
          <c:w val="0.888834066474509"/>
          <c:h val="0.496333922261484"/>
        </c:manualLayout>
      </c:layout>
      <c:barChart>
        <c:barDir val="col"/>
        <c:grouping val="clustered"/>
        <c:varyColors val="false"/>
        <c:ser>
          <c:idx val="0"/>
          <c:order val="0"/>
          <c:tx>
            <c:strRef>
              <c:f>Sheet1!$B$1</c:f>
              <c:strCache>
                <c:ptCount val="1"/>
                <c:pt idx="0">
                  <c:v>系列 1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false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true"/>
              <a:lstStyle/>
              <a:p>
                <a:pPr>
                  <a:defRPr lang="zh-CN"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inEnd"/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xmlns:c15="http://schemas.microsoft.com/office/drawing/2012/chart" uri="{CE6537A1-D6FC-4f65-9D91-7224C49458BB}">
                <c15:layout/>
                <c15:showLeaderLines val="false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Sheet1!$A$2:$A$17</c:f>
              <c:strCache>
                <c:ptCount val="16"/>
                <c:pt idx="0">
                  <c:v>安全管理</c:v>
                </c:pt>
                <c:pt idx="1">
                  <c:v>脚手架</c:v>
                </c:pt>
                <c:pt idx="2">
                  <c:v>基坑工程</c:v>
                </c:pt>
                <c:pt idx="3">
                  <c:v>模板工程</c:v>
                </c:pt>
                <c:pt idx="4">
                  <c:v>高处作业</c:v>
                </c:pt>
                <c:pt idx="5">
                  <c:v>施工用电</c:v>
                </c:pt>
                <c:pt idx="6">
                  <c:v>施工升降机</c:v>
                </c:pt>
                <c:pt idx="7">
                  <c:v>施工升降机使用与安拆</c:v>
                </c:pt>
                <c:pt idx="8">
                  <c:v>塔式起重机</c:v>
                </c:pt>
                <c:pt idx="9">
                  <c:v>起重吊装</c:v>
                </c:pt>
                <c:pt idx="10">
                  <c:v>施工机具</c:v>
                </c:pt>
                <c:pt idx="11">
                  <c:v>汽车吊作业</c:v>
                </c:pt>
                <c:pt idx="12">
                  <c:v>恶劣天气</c:v>
                </c:pt>
                <c:pt idx="13">
                  <c:v>现场消防</c:v>
                </c:pt>
                <c:pt idx="14">
                  <c:v>施工现场</c:v>
                </c:pt>
                <c:pt idx="15">
                  <c:v>其他工程</c:v>
                </c:pt>
              </c:strCache>
            </c:strRef>
          </c:cat>
          <c:val>
            <c:numRef>
              <c:f>Sheet1!$B$2:$B$17</c:f>
              <c:numCache>
                <c:formatCode>General</c:formatCode>
                <c:ptCount val="16"/>
                <c:pt idx="0">
                  <c:v>0</c:v>
                </c:pt>
                <c:pt idx="1">
                  <c:v>0</c:v>
                </c:pt>
                <c:pt idx="2">
                  <c:v>1</c:v>
                </c:pt>
                <c:pt idx="3">
                  <c:v>1</c:v>
                </c:pt>
                <c:pt idx="4">
                  <c:v>0</c:v>
                </c:pt>
                <c:pt idx="5">
                  <c:v>2</c:v>
                </c:pt>
                <c:pt idx="6">
                  <c:v>0</c:v>
                </c:pt>
                <c:pt idx="7">
                  <c:v>0</c:v>
                </c:pt>
                <c:pt idx="8">
                  <c:v>1</c:v>
                </c:pt>
                <c:pt idx="9">
                  <c:v>0</c:v>
                </c:pt>
                <c:pt idx="10">
                  <c:v>3</c:v>
                </c:pt>
                <c:pt idx="11">
                  <c:v>0</c:v>
                </c:pt>
                <c:pt idx="12">
                  <c:v>0</c:v>
                </c:pt>
                <c:pt idx="13">
                  <c:v>4</c:v>
                </c:pt>
                <c:pt idx="14">
                  <c:v>0</c:v>
                </c:pt>
                <c:pt idx="15">
                  <c:v>0</c:v>
                </c:pt>
              </c:numCache>
            </c:numRef>
          </c:val>
        </c:ser>
        <c:dLbls>
          <c:showLegendKey val="false"/>
          <c:showVal val="true"/>
          <c:showCatName val="false"/>
          <c:showSerName val="false"/>
          <c:showPercent val="false"/>
          <c:showBubbleSize val="false"/>
        </c:dLbls>
        <c:gapWidth val="65"/>
        <c:axId val="973150419"/>
        <c:axId val="571882107"/>
      </c:barChart>
      <c:catAx>
        <c:axId val="973150419"/>
        <c:scaling>
          <c:orientation val="minMax"/>
        </c:scaling>
        <c:delete val="false"/>
        <c:axPos val="b"/>
        <c:numFmt formatCode="General" sourceLinked="false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true"/>
          <a:lstStyle/>
          <a:p>
            <a:pPr>
              <a:defRPr lang="zh-CN"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71882107"/>
        <c:crosses val="autoZero"/>
        <c:auto val="true"/>
        <c:lblAlgn val="ctr"/>
        <c:lblOffset val="100"/>
        <c:noMultiLvlLbl val="false"/>
      </c:catAx>
      <c:valAx>
        <c:axId val="571882107"/>
        <c:scaling>
          <c:orientation val="minMax"/>
        </c:scaling>
        <c:delete val="true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false"/>
              </a:gradFill>
              <a:round/>
            </a:ln>
            <a:effectLst/>
          </c:spPr>
        </c:majorGridlines>
        <c:numFmt formatCode="General" sourceLinked="true"/>
        <c:majorTickMark val="none"/>
        <c:minorTickMark val="none"/>
        <c:tickLblPos val="nextTo"/>
        <c:txPr>
          <a:bodyPr rot="-60000000" spcFirstLastPara="0" vertOverflow="ellipsis" vert="horz" wrap="square" anchor="ctr" anchorCtr="true"/>
          <a:lstStyle/>
          <a:p>
            <a:pPr>
              <a:defRPr lang="zh-CN"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73150419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plotVisOnly val="true"/>
    <c:dispBlanksAs val="gap"/>
    <c:showDLblsOverMax val="false"/>
  </c:chart>
  <c:spPr>
    <a:gradFill flip="none" rotWithShape="true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false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false"/>
  <c:lang val="zh-CN"/>
  <c:roundedCorners val="false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true"/>
          <a:lstStyle/>
          <a:p>
            <a:pPr defTabSz="914400">
              <a:defRPr lang="zh-CN"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200"/>
              <a:t>一般风险分布</a:t>
            </a:r>
            <a:endParaRPr lang="zh-CN" altLang="en-US" sz="1200"/>
          </a:p>
        </c:rich>
      </c:tx>
      <c:layout/>
      <c:overlay val="false"/>
      <c:spPr>
        <a:noFill/>
        <a:ln>
          <a:noFill/>
        </a:ln>
        <a:effectLst/>
      </c:spPr>
    </c:title>
    <c:autoTitleDeleted val="false"/>
    <c:plotArea>
      <c:layout>
        <c:manualLayout>
          <c:layoutTarget val="inner"/>
          <c:xMode val="edge"/>
          <c:yMode val="edge"/>
          <c:x val="0.0830683458061925"/>
          <c:y val="0.139355123674912"/>
          <c:w val="0.888834066474509"/>
          <c:h val="0.496333922261484"/>
        </c:manualLayout>
      </c:layout>
      <c:barChart>
        <c:barDir val="col"/>
        <c:grouping val="clustered"/>
        <c:varyColors val="false"/>
        <c:ser>
          <c:idx val="0"/>
          <c:order val="0"/>
          <c:tx>
            <c:strRef>
              <c:f>Sheet1!$B$1</c:f>
              <c:strCache>
                <c:ptCount val="1"/>
                <c:pt idx="0">
                  <c:v>系列 1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false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true"/>
              <a:lstStyle/>
              <a:p>
                <a:pPr>
                  <a:defRPr lang="zh-CN"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inEnd"/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xmlns:c15="http://schemas.microsoft.com/office/drawing/2012/chart" uri="{CE6537A1-D6FC-4f65-9D91-7224C49458BB}">
                <c15:layout/>
                <c15:showLeaderLines val="false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Sheet1!$A$2:$A$17</c:f>
              <c:strCache>
                <c:ptCount val="16"/>
                <c:pt idx="0">
                  <c:v>安全管理</c:v>
                </c:pt>
                <c:pt idx="1">
                  <c:v>脚手架</c:v>
                </c:pt>
                <c:pt idx="2">
                  <c:v>基坑工程</c:v>
                </c:pt>
                <c:pt idx="3">
                  <c:v>模板工程</c:v>
                </c:pt>
                <c:pt idx="4">
                  <c:v>高处作业</c:v>
                </c:pt>
                <c:pt idx="5">
                  <c:v>施工用电</c:v>
                </c:pt>
                <c:pt idx="6">
                  <c:v>施工升降机</c:v>
                </c:pt>
                <c:pt idx="7">
                  <c:v>施工升降机使用与安拆</c:v>
                </c:pt>
                <c:pt idx="8">
                  <c:v>塔式起重机</c:v>
                </c:pt>
                <c:pt idx="9">
                  <c:v>起重吊装</c:v>
                </c:pt>
                <c:pt idx="10">
                  <c:v>施工机具</c:v>
                </c:pt>
                <c:pt idx="11">
                  <c:v>汽车吊作业</c:v>
                </c:pt>
                <c:pt idx="12">
                  <c:v>恶劣天气</c:v>
                </c:pt>
                <c:pt idx="13">
                  <c:v>现场消费</c:v>
                </c:pt>
                <c:pt idx="14">
                  <c:v>施工现场</c:v>
                </c:pt>
                <c:pt idx="15">
                  <c:v>其他工程</c:v>
                </c:pt>
              </c:strCache>
            </c:strRef>
          </c:cat>
          <c:val>
            <c:numRef>
              <c:f>Sheet1!$B$2:$B$17</c:f>
              <c:numCache>
                <c:formatCode>General</c:formatCode>
                <c:ptCount val="16"/>
                <c:pt idx="0">
                  <c:v>0</c:v>
                </c:pt>
                <c:pt idx="1">
                  <c:v>2</c:v>
                </c:pt>
                <c:pt idx="2">
                  <c:v>1</c:v>
                </c:pt>
                <c:pt idx="3">
                  <c:v>3</c:v>
                </c:pt>
                <c:pt idx="4">
                  <c:v>2</c:v>
                </c:pt>
                <c:pt idx="5">
                  <c:v>3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</c:numCache>
            </c:numRef>
          </c:val>
        </c:ser>
        <c:dLbls>
          <c:showLegendKey val="false"/>
          <c:showVal val="true"/>
          <c:showCatName val="false"/>
          <c:showSerName val="false"/>
          <c:showPercent val="false"/>
          <c:showBubbleSize val="false"/>
        </c:dLbls>
        <c:gapWidth val="65"/>
        <c:axId val="973150419"/>
        <c:axId val="571882107"/>
      </c:barChart>
      <c:catAx>
        <c:axId val="973150419"/>
        <c:scaling>
          <c:orientation val="minMax"/>
        </c:scaling>
        <c:delete val="false"/>
        <c:axPos val="b"/>
        <c:numFmt formatCode="General" sourceLinked="false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true"/>
          <a:lstStyle/>
          <a:p>
            <a:pPr>
              <a:defRPr lang="zh-CN"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71882107"/>
        <c:crosses val="autoZero"/>
        <c:auto val="true"/>
        <c:lblAlgn val="ctr"/>
        <c:lblOffset val="100"/>
        <c:noMultiLvlLbl val="false"/>
      </c:catAx>
      <c:valAx>
        <c:axId val="571882107"/>
        <c:scaling>
          <c:orientation val="minMax"/>
        </c:scaling>
        <c:delete val="true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false"/>
              </a:gradFill>
              <a:round/>
            </a:ln>
            <a:effectLst/>
          </c:spPr>
        </c:majorGridlines>
        <c:numFmt formatCode="General" sourceLinked="true"/>
        <c:majorTickMark val="none"/>
        <c:minorTickMark val="none"/>
        <c:tickLblPos val="nextTo"/>
        <c:txPr>
          <a:bodyPr rot="-60000000" spcFirstLastPara="0" vertOverflow="ellipsis" vert="horz" wrap="square" anchor="ctr" anchorCtr="true"/>
          <a:lstStyle/>
          <a:p>
            <a:pPr>
              <a:defRPr lang="zh-CN"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73150419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plotVisOnly val="true"/>
    <c:dispBlanksAs val="gap"/>
    <c:showDLblsOverMax val="false"/>
  </c:chart>
  <c:spPr>
    <a:gradFill flip="none" rotWithShape="true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false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false"/>
  <c:lang val="zh-CN"/>
  <c:roundedCorners val="false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true"/>
          <a:lstStyle/>
          <a:p>
            <a:pPr defTabSz="914400">
              <a:defRPr lang="zh-CN"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200"/>
              <a:t>较大风险分布</a:t>
            </a:r>
            <a:endParaRPr lang="zh-CN" altLang="en-US" sz="1200"/>
          </a:p>
        </c:rich>
      </c:tx>
      <c:layout/>
      <c:overlay val="false"/>
      <c:spPr>
        <a:noFill/>
        <a:ln>
          <a:noFill/>
        </a:ln>
        <a:effectLst/>
      </c:spPr>
    </c:title>
    <c:autoTitleDeleted val="false"/>
    <c:plotArea>
      <c:layout>
        <c:manualLayout>
          <c:layoutTarget val="inner"/>
          <c:xMode val="edge"/>
          <c:yMode val="edge"/>
          <c:x val="0.0830683458061925"/>
          <c:y val="0.139355123674912"/>
          <c:w val="0.888834066474509"/>
          <c:h val="0.496333922261484"/>
        </c:manualLayout>
      </c:layout>
      <c:barChart>
        <c:barDir val="col"/>
        <c:grouping val="clustered"/>
        <c:varyColors val="false"/>
        <c:ser>
          <c:idx val="0"/>
          <c:order val="0"/>
          <c:tx>
            <c:strRef>
              <c:f>Sheet1!$B$1</c:f>
              <c:strCache>
                <c:ptCount val="1"/>
                <c:pt idx="0">
                  <c:v>系列 1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false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true"/>
              <a:lstStyle/>
              <a:p>
                <a:pPr>
                  <a:defRPr lang="zh-CN"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inEnd"/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xmlns:c15="http://schemas.microsoft.com/office/drawing/2012/chart" uri="{CE6537A1-D6FC-4f65-9D91-7224C49458BB}">
                <c15:layout/>
                <c15:showLeaderLines val="false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Sheet1!$A$2:$A$17</c:f>
              <c:strCache>
                <c:ptCount val="16"/>
                <c:pt idx="0">
                  <c:v>安全管理</c:v>
                </c:pt>
                <c:pt idx="1">
                  <c:v>脚手架</c:v>
                </c:pt>
                <c:pt idx="2">
                  <c:v>基坑工程</c:v>
                </c:pt>
                <c:pt idx="3">
                  <c:v>模板工程</c:v>
                </c:pt>
                <c:pt idx="4">
                  <c:v>高处作业</c:v>
                </c:pt>
                <c:pt idx="5">
                  <c:v>施工用电</c:v>
                </c:pt>
                <c:pt idx="6">
                  <c:v>施工升降机</c:v>
                </c:pt>
                <c:pt idx="7">
                  <c:v>施工升降机使用与安拆</c:v>
                </c:pt>
                <c:pt idx="8">
                  <c:v>塔式起重机</c:v>
                </c:pt>
                <c:pt idx="9">
                  <c:v>起重吊装</c:v>
                </c:pt>
                <c:pt idx="10">
                  <c:v>施工机具</c:v>
                </c:pt>
                <c:pt idx="11">
                  <c:v>汽车吊作业</c:v>
                </c:pt>
                <c:pt idx="12">
                  <c:v>恶劣天气</c:v>
                </c:pt>
                <c:pt idx="13">
                  <c:v>现场消费</c:v>
                </c:pt>
                <c:pt idx="14">
                  <c:v>施工现场</c:v>
                </c:pt>
                <c:pt idx="15">
                  <c:v>其他工程</c:v>
                </c:pt>
              </c:strCache>
            </c:strRef>
          </c:cat>
          <c:val>
            <c:numRef>
              <c:f>Sheet1!$B$2:$B$17</c:f>
              <c:numCache>
                <c:formatCode>General</c:formatCode>
                <c:ptCount val="16"/>
                <c:pt idx="0">
                  <c:v>0</c:v>
                </c:pt>
                <c:pt idx="1">
                  <c:v>2</c:v>
                </c:pt>
                <c:pt idx="2">
                  <c:v>0</c:v>
                </c:pt>
                <c:pt idx="3">
                  <c:v>4</c:v>
                </c:pt>
                <c:pt idx="4">
                  <c:v>0</c:v>
                </c:pt>
                <c:pt idx="5">
                  <c:v>1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</c:numCache>
            </c:numRef>
          </c:val>
        </c:ser>
        <c:dLbls>
          <c:showLegendKey val="false"/>
          <c:showVal val="true"/>
          <c:showCatName val="false"/>
          <c:showSerName val="false"/>
          <c:showPercent val="false"/>
          <c:showBubbleSize val="false"/>
        </c:dLbls>
        <c:gapWidth val="65"/>
        <c:axId val="973150419"/>
        <c:axId val="571882107"/>
      </c:barChart>
      <c:catAx>
        <c:axId val="973150419"/>
        <c:scaling>
          <c:orientation val="minMax"/>
        </c:scaling>
        <c:delete val="false"/>
        <c:axPos val="b"/>
        <c:numFmt formatCode="General" sourceLinked="false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true"/>
          <a:lstStyle/>
          <a:p>
            <a:pPr>
              <a:defRPr lang="zh-CN"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71882107"/>
        <c:crosses val="autoZero"/>
        <c:auto val="true"/>
        <c:lblAlgn val="ctr"/>
        <c:lblOffset val="100"/>
        <c:noMultiLvlLbl val="false"/>
      </c:catAx>
      <c:valAx>
        <c:axId val="571882107"/>
        <c:scaling>
          <c:orientation val="minMax"/>
        </c:scaling>
        <c:delete val="true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false"/>
              </a:gradFill>
              <a:round/>
            </a:ln>
            <a:effectLst/>
          </c:spPr>
        </c:majorGridlines>
        <c:numFmt formatCode="General" sourceLinked="true"/>
        <c:majorTickMark val="none"/>
        <c:minorTickMark val="none"/>
        <c:tickLblPos val="nextTo"/>
        <c:txPr>
          <a:bodyPr rot="-60000000" spcFirstLastPara="0" vertOverflow="ellipsis" vert="horz" wrap="square" anchor="ctr" anchorCtr="true"/>
          <a:lstStyle/>
          <a:p>
            <a:pPr>
              <a:defRPr lang="zh-CN"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73150419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plotVisOnly val="true"/>
    <c:dispBlanksAs val="gap"/>
    <c:showDLblsOverMax val="false"/>
  </c:chart>
  <c:spPr>
    <a:gradFill flip="none" rotWithShape="true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false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false"/>
  <c:lang val="zh-CN"/>
  <c:roundedCorners val="false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true"/>
          <a:lstStyle/>
          <a:p>
            <a:pPr defTabSz="914400">
              <a:defRPr lang="zh-CN"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200"/>
              <a:t>重大风险分布</a:t>
            </a:r>
            <a:endParaRPr lang="zh-CN" altLang="en-US" sz="1200"/>
          </a:p>
        </c:rich>
      </c:tx>
      <c:layout/>
      <c:overlay val="false"/>
      <c:spPr>
        <a:noFill/>
        <a:ln>
          <a:noFill/>
        </a:ln>
        <a:effectLst/>
      </c:spPr>
    </c:title>
    <c:autoTitleDeleted val="false"/>
    <c:plotArea>
      <c:layout>
        <c:manualLayout>
          <c:layoutTarget val="inner"/>
          <c:xMode val="edge"/>
          <c:yMode val="edge"/>
          <c:x val="0.0830683458061925"/>
          <c:y val="0.139355123674912"/>
          <c:w val="0.888834066474509"/>
          <c:h val="0.496333922261484"/>
        </c:manualLayout>
      </c:layout>
      <c:barChart>
        <c:barDir val="col"/>
        <c:grouping val="clustered"/>
        <c:varyColors val="false"/>
        <c:ser>
          <c:idx val="0"/>
          <c:order val="0"/>
          <c:tx>
            <c:strRef>
              <c:f>Sheet1!$B$1</c:f>
              <c:strCache>
                <c:ptCount val="1"/>
                <c:pt idx="0">
                  <c:v>系列 1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false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true"/>
              <a:lstStyle/>
              <a:p>
                <a:pPr>
                  <a:defRPr lang="zh-CN"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inEnd"/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xmlns:c15="http://schemas.microsoft.com/office/drawing/2012/chart" uri="{CE6537A1-D6FC-4f65-9D91-7224C49458BB}">
                <c15:layout/>
                <c15:showLeaderLines val="false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Sheet1!$A$2:$A$17</c:f>
              <c:strCache>
                <c:ptCount val="16"/>
                <c:pt idx="0">
                  <c:v>安全管理</c:v>
                </c:pt>
                <c:pt idx="1">
                  <c:v>脚手架</c:v>
                </c:pt>
                <c:pt idx="2">
                  <c:v>基坑工程</c:v>
                </c:pt>
                <c:pt idx="3">
                  <c:v>模板工程</c:v>
                </c:pt>
                <c:pt idx="4">
                  <c:v>高处作业</c:v>
                </c:pt>
                <c:pt idx="5">
                  <c:v>施工用电</c:v>
                </c:pt>
                <c:pt idx="6">
                  <c:v>施工升降机</c:v>
                </c:pt>
                <c:pt idx="7">
                  <c:v>施工升降机使用与安拆</c:v>
                </c:pt>
                <c:pt idx="8">
                  <c:v>塔式起重机</c:v>
                </c:pt>
                <c:pt idx="9">
                  <c:v>起重吊装</c:v>
                </c:pt>
                <c:pt idx="10">
                  <c:v>施工机具</c:v>
                </c:pt>
                <c:pt idx="11">
                  <c:v>汽车吊作业</c:v>
                </c:pt>
                <c:pt idx="12">
                  <c:v>恶劣天气</c:v>
                </c:pt>
                <c:pt idx="13">
                  <c:v>现场消费</c:v>
                </c:pt>
                <c:pt idx="14">
                  <c:v>施工现场</c:v>
                </c:pt>
                <c:pt idx="15">
                  <c:v>其他工程</c:v>
                </c:pt>
              </c:strCache>
            </c:strRef>
          </c:cat>
          <c:val>
            <c:numRef>
              <c:f>Sheet1!$B$2:$B$17</c:f>
              <c:numCache>
                <c:formatCode>General</c:formatCode>
                <c:ptCount val="1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</c:numCache>
            </c:numRef>
          </c:val>
        </c:ser>
        <c:dLbls>
          <c:showLegendKey val="false"/>
          <c:showVal val="true"/>
          <c:showCatName val="false"/>
          <c:showSerName val="false"/>
          <c:showPercent val="false"/>
          <c:showBubbleSize val="false"/>
        </c:dLbls>
        <c:gapWidth val="65"/>
        <c:axId val="973150419"/>
        <c:axId val="571882107"/>
      </c:barChart>
      <c:catAx>
        <c:axId val="973150419"/>
        <c:scaling>
          <c:orientation val="minMax"/>
        </c:scaling>
        <c:delete val="false"/>
        <c:axPos val="b"/>
        <c:numFmt formatCode="General" sourceLinked="false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true"/>
          <a:lstStyle/>
          <a:p>
            <a:pPr>
              <a:defRPr lang="zh-CN"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71882107"/>
        <c:crosses val="autoZero"/>
        <c:auto val="true"/>
        <c:lblAlgn val="ctr"/>
        <c:lblOffset val="100"/>
        <c:noMultiLvlLbl val="false"/>
      </c:catAx>
      <c:valAx>
        <c:axId val="571882107"/>
        <c:scaling>
          <c:orientation val="minMax"/>
        </c:scaling>
        <c:delete val="true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false"/>
              </a:gradFill>
              <a:round/>
            </a:ln>
            <a:effectLst/>
          </c:spPr>
        </c:majorGridlines>
        <c:numFmt formatCode="General" sourceLinked="true"/>
        <c:majorTickMark val="none"/>
        <c:minorTickMark val="none"/>
        <c:tickLblPos val="nextTo"/>
        <c:txPr>
          <a:bodyPr rot="-60000000" spcFirstLastPara="0" vertOverflow="ellipsis" vert="horz" wrap="square" anchor="ctr" anchorCtr="true"/>
          <a:lstStyle/>
          <a:p>
            <a:pPr>
              <a:defRPr lang="zh-CN"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73150419"/>
        <c:crosses val="autoZero"/>
        <c:crossBetween val="between"/>
        <c:majorUnit val="1"/>
        <c:minorUnit val="1"/>
      </c:valAx>
      <c:spPr>
        <a:noFill/>
        <a:ln>
          <a:noFill/>
        </a:ln>
        <a:effectLst/>
      </c:spPr>
    </c:plotArea>
    <c:plotVisOnly val="true"/>
    <c:dispBlanksAs val="gap"/>
    <c:showDLblsOverMax val="false"/>
  </c:chart>
  <c:spPr>
    <a:gradFill flip="none" rotWithShape="true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false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true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true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false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false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true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true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false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false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true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true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true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false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false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true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true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true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false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false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13</Pages>
  <Words>538</Words>
  <Characters>558</Characters>
  <Lines>5</Lines>
  <Paragraphs>1</Paragraphs>
  <TotalTime>6</TotalTime>
  <ScaleCrop>false</ScaleCrop>
  <LinksUpToDate>false</LinksUpToDate>
  <CharactersWithSpaces>643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2022-01-30T19:44:00Z</dcterms:created>
  <dc:creator>琥啼</dc:creator>
  <cp:lastModifiedBy>user</cp:lastModifiedBy>
  <dcterms:modified xsi:type="dcterms:W3CDTF">2023-04-06T16:37:52Z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22C0CA61C7154EEF862036D91C5A58D3</vt:lpwstr>
  </property>
</Properties>
</file>